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CF" w:rsidRPr="00940E3F" w:rsidRDefault="00940E3F" w:rsidP="00244084">
      <w:pPr>
        <w:rPr>
          <w:b/>
        </w:rPr>
      </w:pPr>
      <w:r w:rsidRPr="00940E3F">
        <w:rPr>
          <w:b/>
        </w:rPr>
        <w:t xml:space="preserve"> Makine Çalıştırılmadan Önce Yapılacaklar</w:t>
      </w:r>
    </w:p>
    <w:p w:rsidR="00940E3F" w:rsidRDefault="00940E3F" w:rsidP="00940E3F">
      <w:pPr>
        <w:pStyle w:val="ListeParagraf"/>
        <w:numPr>
          <w:ilvl w:val="0"/>
          <w:numId w:val="36"/>
        </w:numPr>
      </w:pPr>
      <w:r>
        <w:t>Makine dairesi kapağı açılarak görsel kontrol yapılır.</w:t>
      </w:r>
    </w:p>
    <w:p w:rsidR="00940E3F" w:rsidRDefault="00940E3F" w:rsidP="00940E3F">
      <w:pPr>
        <w:pStyle w:val="ListeParagraf"/>
        <w:numPr>
          <w:ilvl w:val="0"/>
          <w:numId w:val="36"/>
        </w:numPr>
      </w:pPr>
      <w:r>
        <w:t>Sintinede herhangi bir yağ, yakıt veya su kaçağı olmadığı kontrol edilir.</w:t>
      </w:r>
    </w:p>
    <w:p w:rsidR="00940E3F" w:rsidRDefault="00940E3F" w:rsidP="00940E3F">
      <w:pPr>
        <w:pStyle w:val="ListeParagraf"/>
        <w:numPr>
          <w:ilvl w:val="0"/>
          <w:numId w:val="36"/>
        </w:numPr>
      </w:pPr>
      <w:r>
        <w:t>Makine yağ seviyesi kontrol edilir.</w:t>
      </w:r>
    </w:p>
    <w:p w:rsidR="00940E3F" w:rsidRDefault="00940E3F" w:rsidP="00940E3F">
      <w:pPr>
        <w:pStyle w:val="ListeParagraf"/>
        <w:numPr>
          <w:ilvl w:val="0"/>
          <w:numId w:val="36"/>
        </w:numPr>
      </w:pPr>
      <w:r>
        <w:t>Makine soğutma suyu seviyesi kontrol edilir.</w:t>
      </w:r>
    </w:p>
    <w:p w:rsidR="00940E3F" w:rsidRDefault="00940E3F" w:rsidP="00940E3F">
      <w:pPr>
        <w:pStyle w:val="ListeParagraf"/>
        <w:numPr>
          <w:ilvl w:val="0"/>
          <w:numId w:val="36"/>
        </w:numPr>
      </w:pPr>
      <w:r>
        <w:t>Makine yakıt tankı seviyesi kontrol edilir.</w:t>
      </w:r>
    </w:p>
    <w:p w:rsidR="0080589F" w:rsidRDefault="0080589F" w:rsidP="00940E3F">
      <w:pPr>
        <w:pStyle w:val="ListeParagraf"/>
        <w:numPr>
          <w:ilvl w:val="0"/>
          <w:numId w:val="36"/>
        </w:numPr>
      </w:pPr>
      <w:r>
        <w:t>Makine deniz suyu filtresi, görsel kontrolü yapılır, kirli ise temizlenir.</w:t>
      </w:r>
    </w:p>
    <w:p w:rsidR="00940E3F" w:rsidRDefault="00940E3F" w:rsidP="00940E3F">
      <w:pPr>
        <w:pStyle w:val="ListeParagraf"/>
        <w:numPr>
          <w:ilvl w:val="0"/>
          <w:numId w:val="36"/>
        </w:numPr>
      </w:pPr>
      <w:r>
        <w:t>Makine dairesindeki akülerin durumu</w:t>
      </w:r>
      <w:r w:rsidR="00984E34">
        <w:t xml:space="preserve"> ve bağlantıları</w:t>
      </w:r>
      <w:r>
        <w:t xml:space="preserve"> kontrol edilir.</w:t>
      </w:r>
    </w:p>
    <w:p w:rsidR="00940E3F" w:rsidRDefault="00940E3F" w:rsidP="00940E3F">
      <w:pPr>
        <w:pStyle w:val="ListeParagraf"/>
        <w:numPr>
          <w:ilvl w:val="0"/>
          <w:numId w:val="36"/>
        </w:numPr>
      </w:pPr>
      <w:r>
        <w:t>Makine dairesi hidrolik donanımı kontrol edilir.</w:t>
      </w:r>
    </w:p>
    <w:p w:rsidR="00940E3F" w:rsidRDefault="00940E3F" w:rsidP="00940E3F">
      <w:pPr>
        <w:pStyle w:val="ListeParagraf"/>
        <w:numPr>
          <w:ilvl w:val="0"/>
          <w:numId w:val="36"/>
        </w:numPr>
      </w:pPr>
      <w:r>
        <w:t>Makine dairesi jeneratör donanımı kontrol edilir.</w:t>
      </w:r>
    </w:p>
    <w:p w:rsidR="00984E34" w:rsidRDefault="00984E34" w:rsidP="00984E34">
      <w:pPr>
        <w:pStyle w:val="ListeParagraf"/>
        <w:numPr>
          <w:ilvl w:val="0"/>
          <w:numId w:val="36"/>
        </w:numPr>
      </w:pPr>
      <w:r>
        <w:t>Tekne şalteri açılır.</w:t>
      </w:r>
    </w:p>
    <w:p w:rsidR="003029FD" w:rsidRDefault="0080589F" w:rsidP="0080589F">
      <w:r>
        <w:t>Gerekli kontroller tamam</w:t>
      </w:r>
      <w:r w:rsidR="00F32C6F">
        <w:t xml:space="preserve">lanarak makine çalıştırılır. </w:t>
      </w:r>
    </w:p>
    <w:p w:rsidR="0080589F" w:rsidRDefault="00F32C6F" w:rsidP="0080589F">
      <w:r>
        <w:t>Makine durdurulduktan sonra makine dairesi görsel kontrolü yapılıp, şalter kapalı konuma alınır.</w:t>
      </w:r>
    </w:p>
    <w:tbl>
      <w:tblPr>
        <w:tblStyle w:val="TabloKlavuzu"/>
        <w:tblW w:w="9157" w:type="dxa"/>
        <w:jc w:val="center"/>
        <w:tblLook w:val="04A0" w:firstRow="1" w:lastRow="0" w:firstColumn="1" w:lastColumn="0" w:noHBand="0" w:noVBand="1"/>
      </w:tblPr>
      <w:tblGrid>
        <w:gridCol w:w="1536"/>
        <w:gridCol w:w="1467"/>
        <w:gridCol w:w="2006"/>
        <w:gridCol w:w="2597"/>
        <w:gridCol w:w="1551"/>
      </w:tblGrid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Pr="006C50DD" w:rsidRDefault="005755B2" w:rsidP="005755B2">
            <w:pPr>
              <w:spacing w:before="120" w:after="120" w:line="276" w:lineRule="auto"/>
              <w:rPr>
                <w:rFonts w:eastAsia="Arial" w:cstheme="minorHAnsi"/>
                <w:b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szCs w:val="20"/>
                <w:highlight w:val="white"/>
              </w:rPr>
              <w:t>Tarih</w:t>
            </w:r>
          </w:p>
        </w:tc>
        <w:tc>
          <w:tcPr>
            <w:tcW w:w="1467" w:type="dxa"/>
          </w:tcPr>
          <w:p w:rsidR="005755B2" w:rsidRPr="006C50DD" w:rsidRDefault="005755B2" w:rsidP="005755B2">
            <w:pPr>
              <w:spacing w:before="120" w:after="120" w:line="276" w:lineRule="auto"/>
              <w:rPr>
                <w:rFonts w:eastAsia="Arial" w:cstheme="minorHAnsi"/>
                <w:b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szCs w:val="20"/>
                <w:highlight w:val="white"/>
              </w:rPr>
              <w:t>Çalışma Saati</w:t>
            </w:r>
          </w:p>
        </w:tc>
        <w:tc>
          <w:tcPr>
            <w:tcW w:w="2006" w:type="dxa"/>
          </w:tcPr>
          <w:p w:rsidR="005755B2" w:rsidRDefault="00853F5D" w:rsidP="005755B2">
            <w:pPr>
              <w:spacing w:before="120" w:after="120"/>
              <w:rPr>
                <w:rFonts w:eastAsia="Arial" w:cstheme="minorHAnsi"/>
                <w:b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szCs w:val="20"/>
                <w:highlight w:val="white"/>
              </w:rPr>
              <w:t>Kontrol Eden</w:t>
            </w:r>
          </w:p>
        </w:tc>
        <w:tc>
          <w:tcPr>
            <w:tcW w:w="2597" w:type="dxa"/>
          </w:tcPr>
          <w:p w:rsidR="005755B2" w:rsidRPr="006C50DD" w:rsidRDefault="00853F5D" w:rsidP="005755B2">
            <w:pPr>
              <w:spacing w:before="120" w:after="120" w:line="276" w:lineRule="auto"/>
              <w:rPr>
                <w:rFonts w:eastAsia="Arial" w:cstheme="minorHAnsi"/>
                <w:b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szCs w:val="20"/>
                <w:highlight w:val="white"/>
              </w:rPr>
              <w:t>Açıklama</w:t>
            </w: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b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szCs w:val="20"/>
                <w:highlight w:val="white"/>
              </w:rPr>
              <w:t>İmza</w:t>
            </w: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 w:line="276" w:lineRule="auto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 w:line="276" w:lineRule="auto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 w:line="276" w:lineRule="auto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 w:line="276" w:lineRule="auto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17B0" w:rsidTr="003029FD">
        <w:trPr>
          <w:trHeight w:hRule="exact" w:val="412"/>
          <w:jc w:val="center"/>
        </w:trPr>
        <w:tc>
          <w:tcPr>
            <w:tcW w:w="1536" w:type="dxa"/>
          </w:tcPr>
          <w:p w:rsidR="002917B0" w:rsidRDefault="002917B0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17B0" w:rsidRDefault="002917B0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17B0" w:rsidRDefault="002917B0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17B0" w:rsidRDefault="002917B0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17B0" w:rsidRDefault="002917B0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17B0" w:rsidTr="003029FD">
        <w:trPr>
          <w:trHeight w:hRule="exact" w:val="412"/>
          <w:jc w:val="center"/>
        </w:trPr>
        <w:tc>
          <w:tcPr>
            <w:tcW w:w="1536" w:type="dxa"/>
          </w:tcPr>
          <w:p w:rsidR="002917B0" w:rsidRDefault="002917B0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17B0" w:rsidRDefault="002917B0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17B0" w:rsidRDefault="002917B0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17B0" w:rsidRDefault="002917B0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17B0" w:rsidRDefault="002917B0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9869B3" w:rsidTr="003029FD">
        <w:trPr>
          <w:trHeight w:hRule="exact" w:val="412"/>
          <w:jc w:val="center"/>
        </w:trPr>
        <w:tc>
          <w:tcPr>
            <w:tcW w:w="1536" w:type="dxa"/>
          </w:tcPr>
          <w:p w:rsidR="009869B3" w:rsidRPr="006C50DD" w:rsidRDefault="009869B3" w:rsidP="009869B3">
            <w:pPr>
              <w:spacing w:before="120" w:after="120" w:line="276" w:lineRule="auto"/>
              <w:rPr>
                <w:rFonts w:eastAsia="Arial" w:cstheme="minorHAnsi"/>
                <w:b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szCs w:val="20"/>
                <w:highlight w:val="white"/>
              </w:rPr>
              <w:lastRenderedPageBreak/>
              <w:t>Tarih</w:t>
            </w:r>
          </w:p>
        </w:tc>
        <w:tc>
          <w:tcPr>
            <w:tcW w:w="1467" w:type="dxa"/>
          </w:tcPr>
          <w:p w:rsidR="009869B3" w:rsidRPr="006C50DD" w:rsidRDefault="009869B3" w:rsidP="009869B3">
            <w:pPr>
              <w:spacing w:before="120" w:after="120" w:line="276" w:lineRule="auto"/>
              <w:rPr>
                <w:rFonts w:eastAsia="Arial" w:cstheme="minorHAnsi"/>
                <w:b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szCs w:val="20"/>
                <w:highlight w:val="white"/>
              </w:rPr>
              <w:t>Çalışma Saati</w:t>
            </w:r>
          </w:p>
        </w:tc>
        <w:tc>
          <w:tcPr>
            <w:tcW w:w="2006" w:type="dxa"/>
          </w:tcPr>
          <w:p w:rsidR="009869B3" w:rsidRDefault="009869B3" w:rsidP="009869B3">
            <w:pPr>
              <w:spacing w:before="120" w:after="120"/>
              <w:rPr>
                <w:rFonts w:eastAsia="Arial" w:cstheme="minorHAnsi"/>
                <w:b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szCs w:val="20"/>
                <w:highlight w:val="white"/>
              </w:rPr>
              <w:t>Kontrol Eden</w:t>
            </w:r>
          </w:p>
        </w:tc>
        <w:tc>
          <w:tcPr>
            <w:tcW w:w="2597" w:type="dxa"/>
          </w:tcPr>
          <w:p w:rsidR="009869B3" w:rsidRPr="006C50DD" w:rsidRDefault="009869B3" w:rsidP="009869B3">
            <w:pPr>
              <w:spacing w:before="120" w:after="120" w:line="276" w:lineRule="auto"/>
              <w:rPr>
                <w:rFonts w:eastAsia="Arial" w:cstheme="minorHAnsi"/>
                <w:b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szCs w:val="20"/>
                <w:highlight w:val="white"/>
              </w:rPr>
              <w:t>Açıklama</w:t>
            </w:r>
          </w:p>
        </w:tc>
        <w:tc>
          <w:tcPr>
            <w:tcW w:w="1551" w:type="dxa"/>
          </w:tcPr>
          <w:p w:rsidR="009869B3" w:rsidRDefault="009869B3" w:rsidP="009869B3">
            <w:pPr>
              <w:spacing w:before="120" w:after="120"/>
              <w:rPr>
                <w:rFonts w:eastAsia="Arial" w:cstheme="minorHAnsi"/>
                <w:b/>
                <w:szCs w:val="20"/>
                <w:highlight w:val="white"/>
              </w:rPr>
            </w:pPr>
            <w:r>
              <w:rPr>
                <w:rFonts w:eastAsia="Arial" w:cstheme="minorHAnsi"/>
                <w:b/>
                <w:szCs w:val="20"/>
                <w:highlight w:val="white"/>
              </w:rPr>
              <w:t>İmza</w:t>
            </w: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294FA2" w:rsidTr="003029FD">
        <w:trPr>
          <w:trHeight w:hRule="exact" w:val="412"/>
          <w:jc w:val="center"/>
        </w:trPr>
        <w:tc>
          <w:tcPr>
            <w:tcW w:w="153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294FA2" w:rsidRDefault="00294FA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  <w:tr w:rsidR="005755B2" w:rsidTr="003029FD">
        <w:trPr>
          <w:trHeight w:hRule="exact" w:val="412"/>
          <w:jc w:val="center"/>
        </w:trPr>
        <w:tc>
          <w:tcPr>
            <w:tcW w:w="153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46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006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2597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  <w:tc>
          <w:tcPr>
            <w:tcW w:w="1551" w:type="dxa"/>
          </w:tcPr>
          <w:p w:rsidR="005755B2" w:rsidRDefault="005755B2" w:rsidP="005755B2">
            <w:pPr>
              <w:spacing w:before="120" w:after="120"/>
              <w:rPr>
                <w:rFonts w:eastAsia="Arial" w:cstheme="minorHAnsi"/>
                <w:szCs w:val="20"/>
                <w:highlight w:val="white"/>
              </w:rPr>
            </w:pPr>
          </w:p>
        </w:tc>
      </w:tr>
    </w:tbl>
    <w:p w:rsidR="00940E3F" w:rsidRDefault="00940E3F" w:rsidP="00F32C6F"/>
    <w:sectPr w:rsidR="00940E3F" w:rsidSect="00E46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92" w:rsidRDefault="009E1C92" w:rsidP="00956AB8">
      <w:pPr>
        <w:spacing w:after="0" w:line="240" w:lineRule="auto"/>
      </w:pPr>
      <w:r>
        <w:separator/>
      </w:r>
    </w:p>
  </w:endnote>
  <w:endnote w:type="continuationSeparator" w:id="0">
    <w:p w:rsidR="009E1C92" w:rsidRDefault="009E1C92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7" w:rsidRDefault="00C346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7" w:rsidRDefault="00C346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7" w:rsidRDefault="00C346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92" w:rsidRDefault="009E1C92" w:rsidP="00956AB8">
      <w:pPr>
        <w:spacing w:after="0" w:line="240" w:lineRule="auto"/>
      </w:pPr>
      <w:r>
        <w:separator/>
      </w:r>
    </w:p>
  </w:footnote>
  <w:footnote w:type="continuationSeparator" w:id="0">
    <w:p w:rsidR="009E1C92" w:rsidRDefault="009E1C92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7" w:rsidRDefault="00C346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940E3F" w:rsidP="00940E3F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TEKNE MAKİNE KONTROL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940E3F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DEF.F</w:t>
          </w:r>
          <w:proofErr w:type="gramEnd"/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.078</w:t>
          </w:r>
        </w:p>
      </w:tc>
    </w:tr>
    <w:tr w:rsidR="005D17B1" w:rsidRPr="00523E9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523E9A" w:rsidRDefault="00C346C7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09.03</w:t>
          </w:r>
          <w:bookmarkStart w:id="0" w:name="_GoBack"/>
          <w:bookmarkEnd w:id="0"/>
          <w:r w:rsidR="00940E3F">
            <w:rPr>
              <w:rFonts w:ascii="Calibri" w:hAnsi="Calibri" w:cs="Calibri"/>
              <w:bCs/>
              <w:color w:val="0070C0"/>
              <w:sz w:val="22"/>
              <w:szCs w:val="20"/>
            </w:rPr>
            <w:t>.2022</w:t>
          </w:r>
        </w:p>
      </w:tc>
    </w:tr>
    <w:tr w:rsidR="005D17B1" w:rsidRPr="00523E9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C346C7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C346C7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7" w:rsidRDefault="00C346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818E5"/>
    <w:multiLevelType w:val="hybridMultilevel"/>
    <w:tmpl w:val="5B4840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5"/>
  </w:num>
  <w:num w:numId="13">
    <w:abstractNumId w:val="34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3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2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917B0"/>
    <w:rsid w:val="00294FA2"/>
    <w:rsid w:val="002A0DBE"/>
    <w:rsid w:val="002B7E83"/>
    <w:rsid w:val="002D517B"/>
    <w:rsid w:val="002E2A46"/>
    <w:rsid w:val="002E4A17"/>
    <w:rsid w:val="002F3A8C"/>
    <w:rsid w:val="00300041"/>
    <w:rsid w:val="003010B1"/>
    <w:rsid w:val="003029FD"/>
    <w:rsid w:val="0032692B"/>
    <w:rsid w:val="00347DE2"/>
    <w:rsid w:val="00351EDE"/>
    <w:rsid w:val="00352A80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B508A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0C69"/>
    <w:rsid w:val="005354BB"/>
    <w:rsid w:val="005428D3"/>
    <w:rsid w:val="00544348"/>
    <w:rsid w:val="00561DB7"/>
    <w:rsid w:val="00564AA7"/>
    <w:rsid w:val="00564CA9"/>
    <w:rsid w:val="005755B2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589F"/>
    <w:rsid w:val="00807388"/>
    <w:rsid w:val="008075B9"/>
    <w:rsid w:val="008212AF"/>
    <w:rsid w:val="0082574A"/>
    <w:rsid w:val="0083270E"/>
    <w:rsid w:val="008357F4"/>
    <w:rsid w:val="00837887"/>
    <w:rsid w:val="00847C90"/>
    <w:rsid w:val="00853F5D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0E3F"/>
    <w:rsid w:val="0094434E"/>
    <w:rsid w:val="00956AB8"/>
    <w:rsid w:val="00960951"/>
    <w:rsid w:val="00984E34"/>
    <w:rsid w:val="009869B3"/>
    <w:rsid w:val="0099620B"/>
    <w:rsid w:val="009B222A"/>
    <w:rsid w:val="009B393C"/>
    <w:rsid w:val="009C219C"/>
    <w:rsid w:val="009C437A"/>
    <w:rsid w:val="009E1C92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A4647"/>
    <w:rsid w:val="00BB199A"/>
    <w:rsid w:val="00BC364B"/>
    <w:rsid w:val="00BE34E6"/>
    <w:rsid w:val="00BE554B"/>
    <w:rsid w:val="00C11EDD"/>
    <w:rsid w:val="00C11F3B"/>
    <w:rsid w:val="00C16C5B"/>
    <w:rsid w:val="00C17C40"/>
    <w:rsid w:val="00C346C7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3459"/>
    <w:rsid w:val="00F057D2"/>
    <w:rsid w:val="00F075AA"/>
    <w:rsid w:val="00F25119"/>
    <w:rsid w:val="00F32C6F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8FDD3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4452-9264-45B5-85FA-A838417C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ÖMÜR KIZILGÖL</cp:lastModifiedBy>
  <cp:revision>13</cp:revision>
  <cp:lastPrinted>2017-12-22T12:22:00Z</cp:lastPrinted>
  <dcterms:created xsi:type="dcterms:W3CDTF">2018-03-27T14:03:00Z</dcterms:created>
  <dcterms:modified xsi:type="dcterms:W3CDTF">2022-08-31T10:36:00Z</dcterms:modified>
</cp:coreProperties>
</file>