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1B" w:rsidRPr="005518AE" w:rsidRDefault="00A1151B" w:rsidP="00A1151B">
      <w:pPr>
        <w:spacing w:line="240" w:lineRule="auto"/>
        <w:jc w:val="both"/>
        <w:rPr>
          <w:b/>
        </w:rPr>
      </w:pPr>
      <w:r w:rsidRPr="005518AE">
        <w:rPr>
          <w:b/>
        </w:rPr>
        <w:t>TANIMLAR</w:t>
      </w:r>
    </w:p>
    <w:p w:rsidR="00A1151B" w:rsidRPr="005518AE" w:rsidRDefault="00A1151B" w:rsidP="00A1151B">
      <w:pPr>
        <w:spacing w:line="240" w:lineRule="auto"/>
        <w:jc w:val="both"/>
      </w:pPr>
      <w:r w:rsidRPr="00A1151B">
        <w:rPr>
          <w:b/>
        </w:rPr>
        <w:t xml:space="preserve">İdare: </w:t>
      </w:r>
      <w:r w:rsidRPr="005518AE">
        <w:t xml:space="preserve">Bandırma </w:t>
      </w:r>
      <w:proofErr w:type="spellStart"/>
      <w:r w:rsidRPr="005518AE">
        <w:t>Onyedi</w:t>
      </w:r>
      <w:proofErr w:type="spellEnd"/>
      <w:r w:rsidRPr="005518AE">
        <w:t xml:space="preserve"> Eylül Üniversitesi Denizcilik Fakültesi Dekanlığı</w:t>
      </w:r>
    </w:p>
    <w:p w:rsidR="00A1151B" w:rsidRPr="005518AE" w:rsidRDefault="00A1151B" w:rsidP="00A1151B">
      <w:pPr>
        <w:spacing w:line="240" w:lineRule="auto"/>
        <w:jc w:val="both"/>
      </w:pPr>
      <w:r w:rsidRPr="00A1151B">
        <w:rPr>
          <w:b/>
        </w:rPr>
        <w:t xml:space="preserve">Laboratuvar: </w:t>
      </w:r>
      <w:r w:rsidRPr="005518AE">
        <w:t xml:space="preserve">Bandırma </w:t>
      </w:r>
      <w:proofErr w:type="spellStart"/>
      <w:r w:rsidRPr="005518AE">
        <w:t>Onyedi</w:t>
      </w:r>
      <w:proofErr w:type="spellEnd"/>
      <w:r w:rsidRPr="005518AE">
        <w:t xml:space="preserve"> Eylül Üniversitesi Denizcilik Fakültesi bünyesindeki laboratuvar, simülatör, atölye, derslik vb. fiziki alanların tamamı </w:t>
      </w:r>
    </w:p>
    <w:p w:rsidR="00A1151B" w:rsidRDefault="00A1151B" w:rsidP="00A1151B">
      <w:pPr>
        <w:spacing w:line="240" w:lineRule="auto"/>
        <w:jc w:val="both"/>
      </w:pPr>
      <w:r w:rsidRPr="00A1151B">
        <w:rPr>
          <w:b/>
        </w:rPr>
        <w:t xml:space="preserve">Laboratuvar </w:t>
      </w:r>
      <w:r>
        <w:rPr>
          <w:b/>
        </w:rPr>
        <w:t>S</w:t>
      </w:r>
      <w:r w:rsidRPr="00A1151B">
        <w:rPr>
          <w:b/>
        </w:rPr>
        <w:t xml:space="preserve">orumlusu: </w:t>
      </w:r>
      <w:r w:rsidRPr="005518AE">
        <w:t>Laboratuvarların yönetim ve işleyişinden sorumlu</w:t>
      </w:r>
      <w:r>
        <w:t xml:space="preserve">, </w:t>
      </w:r>
      <w:r w:rsidRPr="005518AE">
        <w:t xml:space="preserve">yetkilendirilmiş Fakülte öğretim elemanıdır. </w:t>
      </w:r>
    </w:p>
    <w:p w:rsidR="00A1151B" w:rsidRDefault="00A1151B" w:rsidP="00A1151B">
      <w:pPr>
        <w:spacing w:line="240" w:lineRule="auto"/>
        <w:jc w:val="both"/>
      </w:pPr>
      <w:r w:rsidRPr="00A1151B">
        <w:rPr>
          <w:b/>
        </w:rPr>
        <w:t xml:space="preserve">Laboratuvar </w:t>
      </w:r>
      <w:r>
        <w:rPr>
          <w:b/>
        </w:rPr>
        <w:t>S</w:t>
      </w:r>
      <w:r w:rsidRPr="00A1151B">
        <w:rPr>
          <w:b/>
        </w:rPr>
        <w:t xml:space="preserve">orumlusunun </w:t>
      </w:r>
      <w:r>
        <w:rPr>
          <w:b/>
        </w:rPr>
        <w:t>G</w:t>
      </w:r>
      <w:r w:rsidRPr="00A1151B">
        <w:rPr>
          <w:b/>
        </w:rPr>
        <w:t xml:space="preserve">örev </w:t>
      </w:r>
      <w:r>
        <w:rPr>
          <w:b/>
        </w:rPr>
        <w:t>T</w:t>
      </w:r>
      <w:r w:rsidRPr="00A1151B">
        <w:rPr>
          <w:b/>
        </w:rPr>
        <w:t>anımı:</w:t>
      </w:r>
      <w:r w:rsidRPr="00A1151B">
        <w:t xml:space="preserve"> Laboratuvarların yönetim ve işleyişinden sorumlu</w:t>
      </w:r>
      <w:r>
        <w:t xml:space="preserve">, </w:t>
      </w:r>
      <w:r w:rsidRPr="00A1151B">
        <w:t>yetkilendirilmiş öğretim elemanı, bu yönden bütün tedbirleri alır ve uygular. Görevli olduğu yerdeki tüm faaliyetlerden dolayı İdare’ye karşı sorumludur.</w:t>
      </w:r>
    </w:p>
    <w:p w:rsidR="00A1151B" w:rsidRPr="00A1151B" w:rsidRDefault="00A1151B" w:rsidP="00A1151B">
      <w:pPr>
        <w:spacing w:line="240" w:lineRule="auto"/>
        <w:jc w:val="both"/>
        <w:rPr>
          <w:b/>
        </w:rPr>
      </w:pPr>
      <w:r w:rsidRPr="00A1151B">
        <w:rPr>
          <w:b/>
        </w:rPr>
        <w:t>LABORATUVAR KULLANIM KURALLARI</w:t>
      </w:r>
    </w:p>
    <w:p w:rsidR="00A1151B" w:rsidRDefault="00A1151B" w:rsidP="00A1151B">
      <w:pPr>
        <w:pStyle w:val="ListeParagraf"/>
        <w:numPr>
          <w:ilvl w:val="0"/>
          <w:numId w:val="1"/>
        </w:numPr>
        <w:spacing w:line="240" w:lineRule="auto"/>
        <w:jc w:val="both"/>
      </w:pPr>
      <w:r w:rsidRPr="005518AE">
        <w:t xml:space="preserve">Laboratuvarların ziyaret amaçlı kullanımı İdare’nin </w:t>
      </w:r>
      <w:r w:rsidRPr="000F2CAF">
        <w:rPr>
          <w:u w:val="single"/>
        </w:rPr>
        <w:t>izni ve onayına</w:t>
      </w:r>
      <w:r w:rsidRPr="005518AE">
        <w:t xml:space="preserve"> tabidir. Ziyaret dışında, eğitim-öğretim, araştırma geliştirme ve bakım-tutum, onarım faaliyetleri için laboratuvar kullanımlar Laboratuvar Sorumlusu tarafından kayıt altına alınmalıdır. Kayıt, izin ve onay dışı kullanımlar </w:t>
      </w:r>
      <w:r w:rsidRPr="000F2CAF">
        <w:rPr>
          <w:u w:val="single"/>
        </w:rPr>
        <w:t>kesinlikle</w:t>
      </w:r>
      <w:r w:rsidRPr="005518AE">
        <w:t xml:space="preserve"> yasaktır.</w:t>
      </w:r>
    </w:p>
    <w:p w:rsidR="004E37F6" w:rsidRDefault="004E37F6" w:rsidP="00A1151B">
      <w:pPr>
        <w:pStyle w:val="ListeParagraf"/>
        <w:numPr>
          <w:ilvl w:val="0"/>
          <w:numId w:val="1"/>
        </w:numPr>
        <w:spacing w:line="240" w:lineRule="auto"/>
        <w:jc w:val="both"/>
      </w:pPr>
      <w:r w:rsidRPr="005518AE">
        <w:t xml:space="preserve">Laboratuvarların, ziyaret amacıyla açılması talepleri, </w:t>
      </w:r>
      <w:r w:rsidRPr="000F2CAF">
        <w:rPr>
          <w:u w:val="single"/>
        </w:rPr>
        <w:t>ziyaret tarihinden en az 1 hafta öncesinde</w:t>
      </w:r>
      <w:r w:rsidRPr="005518AE">
        <w:t xml:space="preserve"> İdare’ye yazılı olarak bildirilmelidir</w:t>
      </w:r>
      <w:r>
        <w:t>.</w:t>
      </w:r>
    </w:p>
    <w:p w:rsidR="004E37F6" w:rsidRDefault="004E37F6" w:rsidP="00A1151B">
      <w:pPr>
        <w:pStyle w:val="ListeParagraf"/>
        <w:numPr>
          <w:ilvl w:val="0"/>
          <w:numId w:val="1"/>
        </w:numPr>
        <w:spacing w:line="240" w:lineRule="auto"/>
        <w:jc w:val="both"/>
      </w:pPr>
      <w:r w:rsidRPr="005518AE">
        <w:t xml:space="preserve">Laboratuvar açma-kapama yetkisi ve sorumluluğu </w:t>
      </w:r>
      <w:r w:rsidRPr="000F2CAF">
        <w:rPr>
          <w:u w:val="single"/>
        </w:rPr>
        <w:t>yalnızca</w:t>
      </w:r>
      <w:r w:rsidRPr="005518AE">
        <w:t xml:space="preserve"> laboratuvar sorumlusundadır.</w:t>
      </w:r>
    </w:p>
    <w:p w:rsidR="004E37F6" w:rsidRDefault="004E37F6" w:rsidP="000F2CAF">
      <w:pPr>
        <w:pStyle w:val="ListeParagraf"/>
        <w:numPr>
          <w:ilvl w:val="0"/>
          <w:numId w:val="1"/>
        </w:numPr>
        <w:spacing w:line="240" w:lineRule="auto"/>
        <w:jc w:val="both"/>
      </w:pPr>
      <w:r w:rsidRPr="005518AE">
        <w:t xml:space="preserve">Laboratuvarları açma-kapama yetkisi olan öğretim elemanlarının, İdare’nin bilgisi, </w:t>
      </w:r>
      <w:r w:rsidRPr="000F2CAF">
        <w:rPr>
          <w:u w:val="single"/>
        </w:rPr>
        <w:t>izni ve onayı</w:t>
      </w:r>
      <w:r w:rsidRPr="005518AE">
        <w:t xml:space="preserve"> dışında laboratuvarları ziyarete açmaları </w:t>
      </w:r>
      <w:r w:rsidRPr="000F2CAF">
        <w:rPr>
          <w:u w:val="single"/>
        </w:rPr>
        <w:t>yasaktır</w:t>
      </w:r>
      <w:r w:rsidRPr="005518AE">
        <w:t xml:space="preserve">. </w:t>
      </w:r>
      <w:r w:rsidR="000F2CAF" w:rsidRPr="005518AE">
        <w:t xml:space="preserve">Laboratuvar anahtarı hiçbir suretle başka kişi veya kişiler tarafından kullanılmamalıdır. </w:t>
      </w:r>
    </w:p>
    <w:p w:rsidR="004E37F6" w:rsidRDefault="004E37F6" w:rsidP="004E37F6">
      <w:pPr>
        <w:pStyle w:val="ListeParagraf"/>
        <w:numPr>
          <w:ilvl w:val="0"/>
          <w:numId w:val="1"/>
        </w:numPr>
        <w:spacing w:line="240" w:lineRule="auto"/>
        <w:jc w:val="both"/>
      </w:pPr>
      <w:r w:rsidRPr="005518AE">
        <w:t>Laboratuvar Sorumlusu “DEF.F.031 Laboratuvar Giriş</w:t>
      </w:r>
      <w:r>
        <w:t>-</w:t>
      </w:r>
      <w:r w:rsidRPr="005518AE">
        <w:t xml:space="preserve">Çıkış </w:t>
      </w:r>
      <w:proofErr w:type="spellStart"/>
      <w:r w:rsidRPr="005518AE">
        <w:t>Formu”nu</w:t>
      </w:r>
      <w:proofErr w:type="spellEnd"/>
      <w:r w:rsidRPr="005518AE">
        <w:t xml:space="preserve"> eksiksiz olarak doldurur. Uygulama derslerinde bu formun doldurulması ve kontrol edilmesi </w:t>
      </w:r>
      <w:r w:rsidRPr="000F2CAF">
        <w:rPr>
          <w:u w:val="single"/>
        </w:rPr>
        <w:t xml:space="preserve">ilgili öğretim elemanının </w:t>
      </w:r>
      <w:r w:rsidRPr="005518AE">
        <w:t>sorumluluğundadır.</w:t>
      </w:r>
    </w:p>
    <w:p w:rsidR="000F2CAF" w:rsidRPr="005518AE" w:rsidRDefault="000F2CAF" w:rsidP="000F2CAF">
      <w:pPr>
        <w:pStyle w:val="ListeParagraf"/>
        <w:numPr>
          <w:ilvl w:val="0"/>
          <w:numId w:val="1"/>
        </w:numPr>
        <w:spacing w:line="240" w:lineRule="auto"/>
        <w:jc w:val="both"/>
      </w:pPr>
      <w:r w:rsidRPr="00A1151B">
        <w:t>Laboratuvarlar</w:t>
      </w:r>
      <w:r>
        <w:t>ın</w:t>
      </w:r>
      <w:r w:rsidRPr="00A1151B">
        <w:t>, ekipmanlar</w:t>
      </w:r>
      <w:r>
        <w:t>ın</w:t>
      </w:r>
      <w:r w:rsidRPr="00A1151B">
        <w:t>, sistemlerin</w:t>
      </w:r>
      <w:r>
        <w:t>;</w:t>
      </w:r>
      <w:r w:rsidRPr="00A1151B">
        <w:t xml:space="preserve"> laboratuvar kullanma prosedürü, talimatı ve kuralları çerçevesinde </w:t>
      </w:r>
      <w:r>
        <w:t>kullanılması gerekmektedir</w:t>
      </w:r>
      <w:r w:rsidRPr="00A1151B">
        <w:t xml:space="preserve">. </w:t>
      </w:r>
      <w:r w:rsidRPr="000F2CAF">
        <w:rPr>
          <w:u w:val="single"/>
        </w:rPr>
        <w:t>Aksi kullanımlar kesinlikle yasaktır</w:t>
      </w:r>
      <w:r w:rsidRPr="00A1151B">
        <w:t>.</w:t>
      </w:r>
    </w:p>
    <w:p w:rsidR="000F2CAF" w:rsidRDefault="000F2CAF" w:rsidP="000F2CAF">
      <w:pPr>
        <w:pStyle w:val="ListeParagraf"/>
        <w:numPr>
          <w:ilvl w:val="0"/>
          <w:numId w:val="1"/>
        </w:numPr>
        <w:spacing w:line="240" w:lineRule="auto"/>
        <w:jc w:val="both"/>
      </w:pPr>
      <w:r w:rsidRPr="005518AE">
        <w:t xml:space="preserve">Eğitim-öğretim ve araştırma geliştirme faaliyetleri dışındaki tüm ziyaretlerde, Laboratuvarlara aynı anda girebilecek </w:t>
      </w:r>
      <w:r w:rsidRPr="000F2CAF">
        <w:rPr>
          <w:u w:val="single"/>
        </w:rPr>
        <w:t>kişi sayısı 10</w:t>
      </w:r>
      <w:r w:rsidRPr="005518AE">
        <w:t xml:space="preserve"> ile sınırlıdır. </w:t>
      </w:r>
    </w:p>
    <w:p w:rsidR="000F2CAF" w:rsidRPr="005518AE" w:rsidRDefault="000F2CAF" w:rsidP="000F2CAF">
      <w:pPr>
        <w:pStyle w:val="ListeParagraf"/>
        <w:numPr>
          <w:ilvl w:val="0"/>
          <w:numId w:val="1"/>
        </w:numPr>
        <w:spacing w:line="240" w:lineRule="auto"/>
        <w:jc w:val="both"/>
      </w:pPr>
      <w:r w:rsidRPr="005518AE">
        <w:t xml:space="preserve">Laboratuvarların </w:t>
      </w:r>
      <w:r>
        <w:t xml:space="preserve">kullanım </w:t>
      </w:r>
      <w:r w:rsidRPr="005518AE">
        <w:t xml:space="preserve">amacı dışında kullanılması </w:t>
      </w:r>
      <w:r w:rsidRPr="00F12769">
        <w:rPr>
          <w:u w:val="single"/>
        </w:rPr>
        <w:t>kesinlikle</w:t>
      </w:r>
      <w:r>
        <w:t xml:space="preserve"> </w:t>
      </w:r>
      <w:r w:rsidRPr="005518AE">
        <w:t xml:space="preserve">yasaktır. Laboratuvar </w:t>
      </w:r>
      <w:r w:rsidR="00F12769">
        <w:t>s</w:t>
      </w:r>
      <w:r w:rsidRPr="005518AE">
        <w:t>orumlusu dahil herhangi bir hususi amaç için kullanılmaması gerekmektedir.</w:t>
      </w:r>
    </w:p>
    <w:p w:rsidR="000F2CAF" w:rsidRPr="005518AE" w:rsidRDefault="000F2CAF" w:rsidP="000F2CAF">
      <w:pPr>
        <w:pStyle w:val="ListeParagraf"/>
        <w:numPr>
          <w:ilvl w:val="0"/>
          <w:numId w:val="1"/>
        </w:numPr>
        <w:spacing w:line="240" w:lineRule="auto"/>
        <w:jc w:val="both"/>
      </w:pPr>
      <w:r w:rsidRPr="005518AE">
        <w:t>Laboratuvarda çalışma esnasında diğer kullanıcıların dikkatini dağıtmamaya özen gösterilmelidir</w:t>
      </w:r>
      <w:r>
        <w:t>.</w:t>
      </w:r>
    </w:p>
    <w:p w:rsidR="000F2CAF" w:rsidRDefault="000F2CAF" w:rsidP="000F2CAF">
      <w:pPr>
        <w:pStyle w:val="ListeParagraf"/>
        <w:numPr>
          <w:ilvl w:val="0"/>
          <w:numId w:val="1"/>
        </w:numPr>
        <w:spacing w:line="240" w:lineRule="auto"/>
        <w:jc w:val="both"/>
      </w:pPr>
      <w:r w:rsidRPr="005518AE">
        <w:t xml:space="preserve">Laboratuvar fiziki ortamının temiz, tertipli bir şekilde kullanılması ve kullanım sonrası tekrar nizamın sağlanmasına dikkat edilmelidir. </w:t>
      </w:r>
    </w:p>
    <w:p w:rsidR="000F2CAF" w:rsidRPr="005518AE" w:rsidRDefault="000F2CAF" w:rsidP="000F2CAF">
      <w:pPr>
        <w:pStyle w:val="ListeParagraf"/>
        <w:numPr>
          <w:ilvl w:val="0"/>
          <w:numId w:val="1"/>
        </w:numPr>
        <w:spacing w:line="240" w:lineRule="auto"/>
        <w:jc w:val="both"/>
      </w:pPr>
      <w:r w:rsidRPr="005518AE">
        <w:t>Öğrenciler</w:t>
      </w:r>
      <w:r w:rsidR="00F12769">
        <w:t>,</w:t>
      </w:r>
      <w:r w:rsidRPr="005518AE">
        <w:t xml:space="preserve"> ilgili öğretim elemanının </w:t>
      </w:r>
      <w:r w:rsidR="00F12769">
        <w:t xml:space="preserve">gözetim ve </w:t>
      </w:r>
      <w:r w:rsidRPr="005518AE">
        <w:t>kontrolünde çalışmalıdır</w:t>
      </w:r>
      <w:r>
        <w:t>.</w:t>
      </w:r>
    </w:p>
    <w:p w:rsidR="000F2CAF" w:rsidRPr="005518AE" w:rsidRDefault="000F2CAF" w:rsidP="000F2CAF">
      <w:pPr>
        <w:pStyle w:val="ListeParagraf"/>
        <w:numPr>
          <w:ilvl w:val="0"/>
          <w:numId w:val="1"/>
        </w:numPr>
        <w:spacing w:line="240" w:lineRule="auto"/>
        <w:jc w:val="both"/>
      </w:pPr>
      <w:r w:rsidRPr="005518AE">
        <w:t>Laboratuvar ve ekipmanlarının kullanılmasında uyulması gereken kurallara dikkat edilmelidir.</w:t>
      </w:r>
    </w:p>
    <w:p w:rsidR="000F2CAF" w:rsidRPr="005518AE" w:rsidRDefault="000F2CAF" w:rsidP="000F2CAF">
      <w:pPr>
        <w:pStyle w:val="ListeParagraf"/>
        <w:numPr>
          <w:ilvl w:val="0"/>
          <w:numId w:val="1"/>
        </w:numPr>
        <w:spacing w:line="240" w:lineRule="auto"/>
        <w:jc w:val="both"/>
      </w:pPr>
      <w:r w:rsidRPr="005518AE">
        <w:t>Kullanımda olan cihazlar kapatılmamalı ya da fişleri çekilmemelidir.</w:t>
      </w:r>
    </w:p>
    <w:p w:rsidR="000F2CAF" w:rsidRPr="005518AE" w:rsidRDefault="000F2CAF" w:rsidP="000F2CAF">
      <w:pPr>
        <w:pStyle w:val="ListeParagraf"/>
        <w:numPr>
          <w:ilvl w:val="0"/>
          <w:numId w:val="1"/>
        </w:numPr>
        <w:spacing w:line="240" w:lineRule="auto"/>
        <w:jc w:val="both"/>
      </w:pPr>
      <w:r w:rsidRPr="005518AE">
        <w:t>İş sağlığı ve güvenliği kurallarına uyulması zorunludur</w:t>
      </w:r>
      <w:r>
        <w:t>.</w:t>
      </w:r>
    </w:p>
    <w:p w:rsidR="004E37F6" w:rsidRDefault="004E37F6" w:rsidP="004E37F6">
      <w:pPr>
        <w:spacing w:line="240" w:lineRule="auto"/>
        <w:jc w:val="both"/>
      </w:pPr>
    </w:p>
    <w:p w:rsidR="005559BC" w:rsidRPr="00075F7C" w:rsidRDefault="005559BC" w:rsidP="00A1151B">
      <w:pPr>
        <w:spacing w:after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5559BC" w:rsidRPr="00075F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F7" w:rsidRDefault="008847F7" w:rsidP="002A5899">
      <w:pPr>
        <w:spacing w:after="0" w:line="240" w:lineRule="auto"/>
      </w:pPr>
      <w:r>
        <w:separator/>
      </w:r>
    </w:p>
  </w:endnote>
  <w:endnote w:type="continuationSeparator" w:id="0">
    <w:p w:rsidR="008847F7" w:rsidRDefault="008847F7" w:rsidP="002A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F7" w:rsidRDefault="008847F7" w:rsidP="002A5899">
      <w:pPr>
        <w:spacing w:after="0" w:line="240" w:lineRule="auto"/>
      </w:pPr>
      <w:r>
        <w:separator/>
      </w:r>
    </w:p>
  </w:footnote>
  <w:footnote w:type="continuationSeparator" w:id="0">
    <w:p w:rsidR="008847F7" w:rsidRDefault="008847F7" w:rsidP="002A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800"/>
      <w:gridCol w:w="1800"/>
    </w:tblGrid>
    <w:tr w:rsidR="00A76826" w:rsidRPr="00B8586F" w:rsidTr="00C2547F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A76826" w:rsidRPr="00B8586F" w:rsidRDefault="00A76826" w:rsidP="003D241B">
          <w:pPr>
            <w:jc w:val="center"/>
            <w:rPr>
              <w:rFonts w:ascii="Calibri" w:hAnsi="Calibri" w:cs="Calibri"/>
            </w:rPr>
          </w:pPr>
          <w:r w:rsidRPr="00B8586F">
            <w:rPr>
              <w:rFonts w:ascii="Calibri" w:hAnsi="Calibri" w:cs="Calibri"/>
            </w:rPr>
            <w:br/>
          </w:r>
          <w:r w:rsidRPr="00B8586F">
            <w:rPr>
              <w:rFonts w:ascii="Calibri" w:hAnsi="Calibri" w:cs="Calibri"/>
              <w:noProof/>
              <w:lang w:eastAsia="tr-TR"/>
            </w:rPr>
            <w:drawing>
              <wp:inline distT="0" distB="0" distL="0" distR="0" wp14:anchorId="1F829CC9" wp14:editId="70C58888">
                <wp:extent cx="853440" cy="853440"/>
                <wp:effectExtent l="0" t="0" r="3810" b="381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A76826" w:rsidRPr="00B8586F" w:rsidRDefault="002F2B85" w:rsidP="00A76826">
          <w:pPr>
            <w:jc w:val="center"/>
            <w:rPr>
              <w:rFonts w:ascii="Calibri" w:hAnsi="Calibri" w:cs="Calibri"/>
              <w:bCs/>
              <w:color w:val="0070C0"/>
            </w:rPr>
          </w:pPr>
          <w:r>
            <w:rPr>
              <w:rFonts w:ascii="Calibri" w:hAnsi="Calibri" w:cs="Calibri"/>
              <w:bCs/>
              <w:color w:val="0070C0"/>
            </w:rPr>
            <w:t xml:space="preserve">LABORATUVAR KULLANIMI GENEL KURALLARI </w:t>
          </w:r>
          <w:r w:rsidR="00870849" w:rsidRPr="00B8586F">
            <w:rPr>
              <w:rFonts w:ascii="Calibri" w:hAnsi="Calibri" w:cs="Calibri"/>
              <w:bCs/>
              <w:color w:val="0070C0"/>
            </w:rPr>
            <w:t>FORMU</w:t>
          </w: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Dok. No</w:t>
          </w: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870849" w:rsidP="00C2547F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DEF.F.0</w:t>
          </w:r>
          <w:r w:rsidR="002F2B85">
            <w:rPr>
              <w:rFonts w:ascii="Calibri" w:hAnsi="Calibri" w:cs="Calibri"/>
              <w:bCs/>
              <w:color w:val="0070C0"/>
            </w:rPr>
            <w:t>5</w:t>
          </w:r>
          <w:r w:rsidR="003532FB">
            <w:rPr>
              <w:rFonts w:ascii="Calibri" w:hAnsi="Calibri" w:cs="Calibri"/>
              <w:bCs/>
              <w:color w:val="0070C0"/>
            </w:rPr>
            <w:t>5</w:t>
          </w:r>
        </w:p>
      </w:tc>
    </w:tr>
    <w:tr w:rsidR="00A76826" w:rsidRPr="00B8586F" w:rsidTr="00C2547F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İlk yayın tarihi</w:t>
          </w: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2F2B85" w:rsidP="00C2547F">
          <w:pPr>
            <w:rPr>
              <w:rFonts w:ascii="Calibri" w:hAnsi="Calibri" w:cs="Calibri"/>
              <w:bCs/>
              <w:color w:val="0070C0"/>
            </w:rPr>
          </w:pPr>
          <w:r>
            <w:rPr>
              <w:rFonts w:ascii="Calibri" w:hAnsi="Calibri" w:cs="Calibri"/>
              <w:bCs/>
              <w:color w:val="0070C0"/>
            </w:rPr>
            <w:t>14</w:t>
          </w:r>
          <w:r w:rsidR="00870849" w:rsidRPr="00B8586F">
            <w:rPr>
              <w:rFonts w:ascii="Calibri" w:hAnsi="Calibri" w:cs="Calibri"/>
              <w:bCs/>
              <w:color w:val="0070C0"/>
            </w:rPr>
            <w:t>.</w:t>
          </w:r>
          <w:r>
            <w:rPr>
              <w:rFonts w:ascii="Calibri" w:hAnsi="Calibri" w:cs="Calibri"/>
              <w:bCs/>
              <w:color w:val="0070C0"/>
            </w:rPr>
            <w:t>11</w:t>
          </w:r>
          <w:r w:rsidR="00870849" w:rsidRPr="00B8586F">
            <w:rPr>
              <w:rFonts w:ascii="Calibri" w:hAnsi="Calibri" w:cs="Calibri"/>
              <w:bCs/>
              <w:color w:val="0070C0"/>
            </w:rPr>
            <w:t>.201</w:t>
          </w:r>
          <w:r>
            <w:rPr>
              <w:rFonts w:ascii="Calibri" w:hAnsi="Calibri" w:cs="Calibri"/>
              <w:bCs/>
              <w:color w:val="0070C0"/>
            </w:rPr>
            <w:t>9</w:t>
          </w:r>
        </w:p>
      </w:tc>
    </w:tr>
    <w:tr w:rsidR="00A76826" w:rsidRPr="00B8586F" w:rsidTr="00C2547F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proofErr w:type="spellStart"/>
          <w:r w:rsidRPr="00B8586F">
            <w:rPr>
              <w:rFonts w:ascii="Calibri" w:hAnsi="Calibri" w:cs="Calibri"/>
              <w:bCs/>
              <w:color w:val="0070C0"/>
            </w:rPr>
            <w:t>Rev</w:t>
          </w:r>
          <w:proofErr w:type="spellEnd"/>
          <w:r w:rsidRPr="00B8586F">
            <w:rPr>
              <w:rFonts w:ascii="Calibri" w:hAnsi="Calibri" w:cs="Calibri"/>
              <w:bCs/>
              <w:color w:val="0070C0"/>
            </w:rPr>
            <w:t>. No / Tarih</w:t>
          </w: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870849" w:rsidP="00C2547F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Rev.00/-</w:t>
          </w:r>
        </w:p>
      </w:tc>
    </w:tr>
    <w:tr w:rsidR="00A76826" w:rsidRPr="00B8586F" w:rsidTr="00C2547F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Sayfa No</w:t>
          </w: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fldChar w:fldCharType="begin"/>
          </w: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instrText xml:space="preserve"> PAGE </w:instrText>
          </w: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fldChar w:fldCharType="separate"/>
          </w:r>
          <w:r w:rsidR="001E3E63">
            <w:rPr>
              <w:rStyle w:val="SayfaNumaras"/>
              <w:rFonts w:ascii="Calibri" w:hAnsi="Calibri" w:cs="Calibri"/>
              <w:bCs/>
              <w:noProof/>
              <w:color w:val="0070C0"/>
            </w:rPr>
            <w:t>1</w:t>
          </w: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fldChar w:fldCharType="end"/>
          </w: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t>/</w:t>
          </w:r>
          <w:r w:rsidRPr="00B8586F">
            <w:rPr>
              <w:rStyle w:val="SayfaNumaras"/>
              <w:rFonts w:ascii="Calibri" w:hAnsi="Calibri" w:cs="Calibri"/>
              <w:color w:val="0070C0"/>
            </w:rPr>
            <w:fldChar w:fldCharType="begin"/>
          </w:r>
          <w:r w:rsidRPr="00B8586F">
            <w:rPr>
              <w:rStyle w:val="SayfaNumaras"/>
              <w:rFonts w:ascii="Calibri" w:hAnsi="Calibri" w:cs="Calibri"/>
              <w:color w:val="0070C0"/>
            </w:rPr>
            <w:instrText xml:space="preserve"> NUMPAGES </w:instrText>
          </w:r>
          <w:r w:rsidRPr="00B8586F">
            <w:rPr>
              <w:rStyle w:val="SayfaNumaras"/>
              <w:rFonts w:ascii="Calibri" w:hAnsi="Calibri" w:cs="Calibri"/>
              <w:color w:val="0070C0"/>
            </w:rPr>
            <w:fldChar w:fldCharType="separate"/>
          </w:r>
          <w:r w:rsidR="001E3E63">
            <w:rPr>
              <w:rStyle w:val="SayfaNumaras"/>
              <w:rFonts w:ascii="Calibri" w:hAnsi="Calibri" w:cs="Calibri"/>
              <w:noProof/>
              <w:color w:val="0070C0"/>
            </w:rPr>
            <w:t>1</w:t>
          </w:r>
          <w:r w:rsidRPr="00B8586F">
            <w:rPr>
              <w:rStyle w:val="SayfaNumaras"/>
              <w:rFonts w:ascii="Calibri" w:hAnsi="Calibri" w:cs="Calibri"/>
              <w:color w:val="0070C0"/>
            </w:rPr>
            <w:fldChar w:fldCharType="end"/>
          </w:r>
        </w:p>
      </w:tc>
    </w:tr>
  </w:tbl>
  <w:p w:rsidR="002A5899" w:rsidRDefault="002A58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30E4"/>
    <w:multiLevelType w:val="hybridMultilevel"/>
    <w:tmpl w:val="AA0C3A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yMzAzNjG3NDcyMjFS0lEKTi0uzszPAykwrAUAJisT3SwAAAA="/>
  </w:docVars>
  <w:rsids>
    <w:rsidRoot w:val="002A5899"/>
    <w:rsid w:val="0001153A"/>
    <w:rsid w:val="00043507"/>
    <w:rsid w:val="000565D9"/>
    <w:rsid w:val="00075F7C"/>
    <w:rsid w:val="000847B4"/>
    <w:rsid w:val="000B5CBB"/>
    <w:rsid w:val="000E08AA"/>
    <w:rsid w:val="000F2CAF"/>
    <w:rsid w:val="00116DCC"/>
    <w:rsid w:val="00151EE1"/>
    <w:rsid w:val="00155012"/>
    <w:rsid w:val="00182272"/>
    <w:rsid w:val="001B371B"/>
    <w:rsid w:val="001D78D3"/>
    <w:rsid w:val="001E3E63"/>
    <w:rsid w:val="001F21A3"/>
    <w:rsid w:val="002611EA"/>
    <w:rsid w:val="002A5899"/>
    <w:rsid w:val="002F2B85"/>
    <w:rsid w:val="00330ACA"/>
    <w:rsid w:val="00347801"/>
    <w:rsid w:val="003532FB"/>
    <w:rsid w:val="0035362F"/>
    <w:rsid w:val="00393D5F"/>
    <w:rsid w:val="003D0200"/>
    <w:rsid w:val="00454420"/>
    <w:rsid w:val="00455A49"/>
    <w:rsid w:val="00464B9D"/>
    <w:rsid w:val="004D534D"/>
    <w:rsid w:val="004E37F6"/>
    <w:rsid w:val="00516274"/>
    <w:rsid w:val="0052087B"/>
    <w:rsid w:val="00541F42"/>
    <w:rsid w:val="00542C18"/>
    <w:rsid w:val="00553B94"/>
    <w:rsid w:val="005559BC"/>
    <w:rsid w:val="00577C97"/>
    <w:rsid w:val="0058694A"/>
    <w:rsid w:val="005B6DA9"/>
    <w:rsid w:val="0069092B"/>
    <w:rsid w:val="006A0DE8"/>
    <w:rsid w:val="006C16F7"/>
    <w:rsid w:val="00752858"/>
    <w:rsid w:val="007802DA"/>
    <w:rsid w:val="00791B6B"/>
    <w:rsid w:val="00807D0F"/>
    <w:rsid w:val="0082761A"/>
    <w:rsid w:val="0085323B"/>
    <w:rsid w:val="00870849"/>
    <w:rsid w:val="008847F7"/>
    <w:rsid w:val="008A4FAC"/>
    <w:rsid w:val="008B2FC5"/>
    <w:rsid w:val="00936559"/>
    <w:rsid w:val="009676F4"/>
    <w:rsid w:val="009B06E3"/>
    <w:rsid w:val="009B4A1C"/>
    <w:rsid w:val="009C7AA8"/>
    <w:rsid w:val="009F3011"/>
    <w:rsid w:val="00A1151B"/>
    <w:rsid w:val="00A53A46"/>
    <w:rsid w:val="00A76826"/>
    <w:rsid w:val="00AA0F33"/>
    <w:rsid w:val="00AC0EE0"/>
    <w:rsid w:val="00AD446C"/>
    <w:rsid w:val="00AE2F49"/>
    <w:rsid w:val="00AF4C6F"/>
    <w:rsid w:val="00B232F3"/>
    <w:rsid w:val="00B3656F"/>
    <w:rsid w:val="00B526FE"/>
    <w:rsid w:val="00B83FC0"/>
    <w:rsid w:val="00B84405"/>
    <w:rsid w:val="00B8586F"/>
    <w:rsid w:val="00C2547F"/>
    <w:rsid w:val="00C56879"/>
    <w:rsid w:val="00C96AD4"/>
    <w:rsid w:val="00CF7009"/>
    <w:rsid w:val="00D139FD"/>
    <w:rsid w:val="00D16E1F"/>
    <w:rsid w:val="00D66263"/>
    <w:rsid w:val="00DB576F"/>
    <w:rsid w:val="00DE677D"/>
    <w:rsid w:val="00F12769"/>
    <w:rsid w:val="00F80EC8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AC020"/>
  <w15:docId w15:val="{FB7EB6DB-2CAA-42FB-B5F1-8301D637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5899"/>
  </w:style>
  <w:style w:type="paragraph" w:styleId="AltBilgi">
    <w:name w:val="footer"/>
    <w:basedOn w:val="Normal"/>
    <w:link w:val="AltBilgiChar"/>
    <w:uiPriority w:val="99"/>
    <w:unhideWhenUsed/>
    <w:rsid w:val="002A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5899"/>
  </w:style>
  <w:style w:type="paragraph" w:styleId="BalonMetni">
    <w:name w:val="Balloon Text"/>
    <w:basedOn w:val="Normal"/>
    <w:link w:val="BalonMetniChar"/>
    <w:uiPriority w:val="99"/>
    <w:semiHidden/>
    <w:unhideWhenUsed/>
    <w:rsid w:val="002A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899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A76826"/>
  </w:style>
  <w:style w:type="paragraph" w:styleId="ListeParagraf">
    <w:name w:val="List Paragraph"/>
    <w:basedOn w:val="Normal"/>
    <w:uiPriority w:val="34"/>
    <w:qFormat/>
    <w:rsid w:val="00A1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OLCAY SERT</cp:lastModifiedBy>
  <cp:revision>7</cp:revision>
  <cp:lastPrinted>2019-11-14T13:09:00Z</cp:lastPrinted>
  <dcterms:created xsi:type="dcterms:W3CDTF">2019-11-14T13:19:00Z</dcterms:created>
  <dcterms:modified xsi:type="dcterms:W3CDTF">2020-06-29T07:34:00Z</dcterms:modified>
</cp:coreProperties>
</file>